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91036" w14:textId="5ED56436" w:rsidR="008618F6" w:rsidRDefault="00947F1E" w:rsidP="00F37A95">
      <w:pPr>
        <w:rPr>
          <w:b/>
          <w:bCs/>
          <w:sz w:val="34"/>
        </w:rPr>
      </w:pPr>
      <w:r w:rsidRPr="00FA7DD7">
        <w:rPr>
          <w:rFonts w:cs="Arial"/>
          <w:b/>
          <w:bCs/>
          <w:noProof/>
          <w:sz w:val="32"/>
          <w:szCs w:val="32"/>
        </w:rPr>
        <w:drawing>
          <wp:anchor distT="0" distB="0" distL="114300" distR="114300" simplePos="0" relativeHeight="251657728" behindDoc="1" locked="0" layoutInCell="1" allowOverlap="1" wp14:anchorId="75C06452" wp14:editId="2C6B94AC">
            <wp:simplePos x="0" y="0"/>
            <wp:positionH relativeFrom="column">
              <wp:posOffset>-212725</wp:posOffset>
            </wp:positionH>
            <wp:positionV relativeFrom="paragraph">
              <wp:posOffset>1905</wp:posOffset>
            </wp:positionV>
            <wp:extent cx="1400175" cy="1400175"/>
            <wp:effectExtent l="0" t="0" r="9525" b="9525"/>
            <wp:wrapTight wrapText="bothSides">
              <wp:wrapPolygon edited="0">
                <wp:start x="0" y="0"/>
                <wp:lineTo x="0" y="21453"/>
                <wp:lineTo x="21453" y="21453"/>
                <wp:lineTo x="21453" y="0"/>
                <wp:lineTo x="0" y="0"/>
              </wp:wrapPolygon>
            </wp:wrapTight>
            <wp:docPr id="1195366215" name="Picture 1" descr="A group of people with their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66215" name="Picture 1" descr="A group of people with their arms up&#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page">
              <wp14:pctWidth>0</wp14:pctWidth>
            </wp14:sizeRelH>
            <wp14:sizeRelV relativeFrom="page">
              <wp14:pctHeight>0</wp14:pctHeight>
            </wp14:sizeRelV>
          </wp:anchor>
        </w:drawing>
      </w:r>
      <w:r w:rsidRPr="00AB3397">
        <w:rPr>
          <w:b/>
          <w:bCs/>
          <w:sz w:val="34"/>
        </w:rPr>
        <w:t xml:space="preserve">Wootton Village Hall </w:t>
      </w:r>
    </w:p>
    <w:p w14:paraId="4535AB2C" w14:textId="649C6D8B" w:rsidR="00947F1E" w:rsidRDefault="006E4A9F" w:rsidP="008618F6">
      <w:pPr>
        <w:spacing w:after="0" w:line="240" w:lineRule="auto"/>
        <w:rPr>
          <w:b/>
          <w:bCs/>
          <w:sz w:val="34"/>
        </w:rPr>
      </w:pPr>
      <w:r>
        <w:rPr>
          <w:b/>
          <w:bCs/>
          <w:sz w:val="34"/>
        </w:rPr>
        <w:t>Grievance</w:t>
      </w:r>
      <w:r w:rsidR="00947F1E" w:rsidRPr="00947F1E">
        <w:rPr>
          <w:b/>
          <w:bCs/>
          <w:sz w:val="34"/>
        </w:rPr>
        <w:t xml:space="preserve"> and Disciplinary Policy</w:t>
      </w:r>
    </w:p>
    <w:p w14:paraId="5378B184" w14:textId="77777777" w:rsidR="008618F6" w:rsidRDefault="008618F6" w:rsidP="00947F1E">
      <w:pPr>
        <w:spacing w:after="0" w:line="240" w:lineRule="auto"/>
        <w:jc w:val="center"/>
        <w:rPr>
          <w:b/>
          <w:bCs/>
          <w:sz w:val="34"/>
        </w:rPr>
      </w:pPr>
    </w:p>
    <w:p w14:paraId="343E519B" w14:textId="77777777" w:rsidR="00947F1E" w:rsidRDefault="00947F1E" w:rsidP="00947F1E">
      <w:pPr>
        <w:spacing w:after="0" w:line="240" w:lineRule="auto"/>
      </w:pPr>
      <w:r w:rsidRPr="008715BE">
        <w:rPr>
          <w:rFonts w:cs="Arial"/>
        </w:rPr>
        <w:t xml:space="preserve">Website </w:t>
      </w:r>
      <w:hyperlink r:id="rId5" w:history="1">
        <w:r w:rsidRPr="00233EE8">
          <w:rPr>
            <w:rStyle w:val="Hyperlink"/>
            <w:rFonts w:cs="Arial"/>
          </w:rPr>
          <w:t>https://www.woottonvillagehall.com</w:t>
        </w:r>
      </w:hyperlink>
    </w:p>
    <w:p w14:paraId="6CB0E5C2" w14:textId="77777777" w:rsidR="00F37A95" w:rsidRDefault="00F37A95" w:rsidP="00947F1E">
      <w:pPr>
        <w:spacing w:after="0" w:line="240" w:lineRule="auto"/>
        <w:rPr>
          <w:rFonts w:cs="Arial"/>
        </w:rPr>
      </w:pPr>
    </w:p>
    <w:p w14:paraId="55CD6AE5" w14:textId="6A3328BF" w:rsidR="00947F1E" w:rsidRDefault="00947F1E" w:rsidP="00947F1E">
      <w:pPr>
        <w:spacing w:after="0" w:line="240" w:lineRule="auto"/>
        <w:rPr>
          <w:rFonts w:cs="Arial"/>
        </w:rPr>
      </w:pPr>
    </w:p>
    <w:tbl>
      <w:tblPr>
        <w:tblStyle w:val="TableGrid0"/>
        <w:tblpPr w:leftFromText="180" w:rightFromText="180" w:vertAnchor="text" w:horzAnchor="margin" w:tblpY="79"/>
        <w:tblW w:w="10128" w:type="dxa"/>
        <w:tblInd w:w="0" w:type="dxa"/>
        <w:tblCellMar>
          <w:top w:w="78" w:type="dxa"/>
          <w:left w:w="137" w:type="dxa"/>
          <w:right w:w="290" w:type="dxa"/>
        </w:tblCellMar>
        <w:tblLook w:val="04A0" w:firstRow="1" w:lastRow="0" w:firstColumn="1" w:lastColumn="0" w:noHBand="0" w:noVBand="1"/>
      </w:tblPr>
      <w:tblGrid>
        <w:gridCol w:w="3041"/>
        <w:gridCol w:w="7087"/>
      </w:tblGrid>
      <w:tr w:rsidR="00947F1E" w14:paraId="76DF651E" w14:textId="77777777" w:rsidTr="00605F92">
        <w:trPr>
          <w:trHeight w:val="461"/>
        </w:trPr>
        <w:tc>
          <w:tcPr>
            <w:tcW w:w="3041" w:type="dxa"/>
            <w:tcBorders>
              <w:top w:val="single" w:sz="2" w:space="0" w:color="000000"/>
              <w:left w:val="single" w:sz="2" w:space="0" w:color="000000"/>
              <w:bottom w:val="single" w:sz="2" w:space="0" w:color="000000"/>
              <w:right w:val="single" w:sz="2" w:space="0" w:color="000000"/>
            </w:tcBorders>
          </w:tcPr>
          <w:p w14:paraId="448AA6E3" w14:textId="77777777" w:rsidR="00947F1E" w:rsidRPr="00DF6D61" w:rsidRDefault="00947F1E" w:rsidP="00605F92">
            <w:pPr>
              <w:spacing w:line="259" w:lineRule="auto"/>
              <w:ind w:left="19"/>
              <w:rPr>
                <w:rFonts w:cs="Arial"/>
                <w:b/>
                <w:bCs/>
                <w:szCs w:val="22"/>
              </w:rPr>
            </w:pPr>
            <w:r w:rsidRPr="00DF6D61">
              <w:rPr>
                <w:rFonts w:cs="Arial"/>
                <w:b/>
                <w:bCs/>
                <w:szCs w:val="22"/>
              </w:rPr>
              <w:t>Name of Organisation</w:t>
            </w:r>
          </w:p>
        </w:tc>
        <w:tc>
          <w:tcPr>
            <w:tcW w:w="7087" w:type="dxa"/>
            <w:tcBorders>
              <w:top w:val="single" w:sz="2" w:space="0" w:color="000000"/>
              <w:left w:val="single" w:sz="2" w:space="0" w:color="000000"/>
              <w:bottom w:val="single" w:sz="2" w:space="0" w:color="000000"/>
              <w:right w:val="single" w:sz="2" w:space="0" w:color="000000"/>
            </w:tcBorders>
          </w:tcPr>
          <w:p w14:paraId="16312830" w14:textId="77777777" w:rsidR="00947F1E" w:rsidRPr="00DF6D61" w:rsidRDefault="00947F1E" w:rsidP="00605F92">
            <w:pPr>
              <w:spacing w:line="259" w:lineRule="auto"/>
              <w:rPr>
                <w:rFonts w:cs="Arial"/>
                <w:szCs w:val="22"/>
              </w:rPr>
            </w:pPr>
            <w:r w:rsidRPr="00DF6D61">
              <w:rPr>
                <w:rFonts w:cs="Arial"/>
                <w:szCs w:val="22"/>
              </w:rPr>
              <w:t>Wootton Village Hall</w:t>
            </w:r>
          </w:p>
        </w:tc>
      </w:tr>
      <w:tr w:rsidR="00947F1E" w14:paraId="1B8456E7" w14:textId="77777777" w:rsidTr="00605F92">
        <w:trPr>
          <w:trHeight w:val="455"/>
        </w:trPr>
        <w:tc>
          <w:tcPr>
            <w:tcW w:w="3041" w:type="dxa"/>
            <w:tcBorders>
              <w:top w:val="single" w:sz="2" w:space="0" w:color="000000"/>
              <w:left w:val="single" w:sz="2" w:space="0" w:color="000000"/>
              <w:bottom w:val="single" w:sz="2" w:space="0" w:color="000000"/>
              <w:right w:val="single" w:sz="2" w:space="0" w:color="000000"/>
            </w:tcBorders>
            <w:vAlign w:val="center"/>
          </w:tcPr>
          <w:p w14:paraId="73372C20" w14:textId="77777777" w:rsidR="00947F1E" w:rsidRPr="00DF6D61" w:rsidRDefault="00947F1E" w:rsidP="00605F92">
            <w:pPr>
              <w:spacing w:line="259" w:lineRule="auto"/>
              <w:ind w:left="5"/>
              <w:rPr>
                <w:rFonts w:cs="Arial"/>
                <w:b/>
                <w:bCs/>
                <w:szCs w:val="22"/>
              </w:rPr>
            </w:pPr>
            <w:r w:rsidRPr="00DF6D61">
              <w:rPr>
                <w:rFonts w:cs="Arial"/>
                <w:b/>
                <w:bCs/>
                <w:szCs w:val="22"/>
              </w:rPr>
              <w:t>Address</w:t>
            </w:r>
          </w:p>
        </w:tc>
        <w:tc>
          <w:tcPr>
            <w:tcW w:w="7087" w:type="dxa"/>
            <w:tcBorders>
              <w:top w:val="single" w:sz="2" w:space="0" w:color="000000"/>
              <w:left w:val="single" w:sz="2" w:space="0" w:color="000000"/>
              <w:bottom w:val="single" w:sz="2" w:space="0" w:color="000000"/>
              <w:right w:val="single" w:sz="2" w:space="0" w:color="000000"/>
            </w:tcBorders>
            <w:vAlign w:val="center"/>
          </w:tcPr>
          <w:p w14:paraId="26A4CE20" w14:textId="77777777" w:rsidR="00947F1E" w:rsidRPr="00DF6D61" w:rsidRDefault="00947F1E" w:rsidP="00605F92">
            <w:pPr>
              <w:spacing w:line="259" w:lineRule="auto"/>
              <w:ind w:left="19"/>
              <w:rPr>
                <w:rFonts w:cs="Arial"/>
                <w:szCs w:val="22"/>
              </w:rPr>
            </w:pPr>
            <w:r w:rsidRPr="00DF6D61">
              <w:rPr>
                <w:rFonts w:cs="Arial"/>
                <w:szCs w:val="22"/>
              </w:rPr>
              <w:t>2 Swallow Lane, Wootton, Ulceby DN39 6SB</w:t>
            </w:r>
          </w:p>
        </w:tc>
      </w:tr>
      <w:tr w:rsidR="00947F1E" w14:paraId="6DD4B9F9" w14:textId="77777777" w:rsidTr="00605F92">
        <w:trPr>
          <w:trHeight w:val="461"/>
        </w:trPr>
        <w:tc>
          <w:tcPr>
            <w:tcW w:w="3041" w:type="dxa"/>
            <w:tcBorders>
              <w:top w:val="single" w:sz="2" w:space="0" w:color="000000"/>
              <w:left w:val="single" w:sz="2" w:space="0" w:color="000000"/>
              <w:bottom w:val="single" w:sz="2" w:space="0" w:color="000000"/>
              <w:right w:val="single" w:sz="2" w:space="0" w:color="000000"/>
            </w:tcBorders>
          </w:tcPr>
          <w:p w14:paraId="3F069504" w14:textId="77777777" w:rsidR="00947F1E" w:rsidRPr="00DF6D61" w:rsidRDefault="00947F1E" w:rsidP="00605F92">
            <w:pPr>
              <w:spacing w:line="259" w:lineRule="auto"/>
              <w:rPr>
                <w:rFonts w:cs="Arial"/>
                <w:b/>
                <w:bCs/>
                <w:szCs w:val="22"/>
              </w:rPr>
            </w:pPr>
            <w:r w:rsidRPr="00DF6D61">
              <w:rPr>
                <w:rFonts w:cs="Arial"/>
                <w:b/>
                <w:bCs/>
                <w:szCs w:val="22"/>
              </w:rPr>
              <w:t>Telephone</w:t>
            </w:r>
          </w:p>
        </w:tc>
        <w:tc>
          <w:tcPr>
            <w:tcW w:w="7087" w:type="dxa"/>
            <w:tcBorders>
              <w:top w:val="single" w:sz="2" w:space="0" w:color="000000"/>
              <w:left w:val="single" w:sz="2" w:space="0" w:color="000000"/>
              <w:bottom w:val="single" w:sz="2" w:space="0" w:color="000000"/>
              <w:right w:val="single" w:sz="2" w:space="0" w:color="000000"/>
            </w:tcBorders>
            <w:vAlign w:val="center"/>
          </w:tcPr>
          <w:p w14:paraId="7A8F7DA9" w14:textId="77777777" w:rsidR="00947F1E" w:rsidRPr="00DF6D61" w:rsidRDefault="00947F1E" w:rsidP="00605F92">
            <w:pPr>
              <w:spacing w:line="259" w:lineRule="auto"/>
              <w:ind w:left="29"/>
              <w:rPr>
                <w:rFonts w:cs="Arial"/>
                <w:szCs w:val="22"/>
              </w:rPr>
            </w:pPr>
            <w:r w:rsidRPr="00DF6D61">
              <w:rPr>
                <w:rFonts w:cs="Arial"/>
                <w:szCs w:val="22"/>
              </w:rPr>
              <w:t>01469 589000 (Secretary)</w:t>
            </w:r>
          </w:p>
        </w:tc>
      </w:tr>
      <w:tr w:rsidR="00947F1E" w14:paraId="595B5B5C" w14:textId="77777777" w:rsidTr="00605F92">
        <w:trPr>
          <w:trHeight w:val="445"/>
        </w:trPr>
        <w:tc>
          <w:tcPr>
            <w:tcW w:w="3041" w:type="dxa"/>
            <w:tcBorders>
              <w:top w:val="single" w:sz="2" w:space="0" w:color="000000"/>
              <w:left w:val="single" w:sz="2" w:space="0" w:color="000000"/>
              <w:bottom w:val="single" w:sz="2" w:space="0" w:color="000000"/>
              <w:right w:val="single" w:sz="2" w:space="0" w:color="000000"/>
            </w:tcBorders>
          </w:tcPr>
          <w:p w14:paraId="14EF6FC9" w14:textId="77777777" w:rsidR="00947F1E" w:rsidRPr="00DF6D61" w:rsidRDefault="00947F1E" w:rsidP="00605F92">
            <w:pPr>
              <w:spacing w:line="259" w:lineRule="auto"/>
              <w:ind w:left="19"/>
              <w:rPr>
                <w:rFonts w:cs="Arial"/>
                <w:b/>
                <w:bCs/>
                <w:szCs w:val="22"/>
              </w:rPr>
            </w:pPr>
            <w:r w:rsidRPr="00DF6D61">
              <w:rPr>
                <w:rFonts w:cs="Arial"/>
                <w:b/>
                <w:bCs/>
                <w:szCs w:val="22"/>
              </w:rPr>
              <w:t>Date Policy Agreed</w:t>
            </w:r>
          </w:p>
        </w:tc>
        <w:tc>
          <w:tcPr>
            <w:tcW w:w="7087" w:type="dxa"/>
            <w:tcBorders>
              <w:top w:val="single" w:sz="2" w:space="0" w:color="000000"/>
              <w:left w:val="single" w:sz="2" w:space="0" w:color="000000"/>
              <w:bottom w:val="single" w:sz="2" w:space="0" w:color="000000"/>
              <w:right w:val="single" w:sz="2" w:space="0" w:color="000000"/>
            </w:tcBorders>
            <w:vAlign w:val="center"/>
          </w:tcPr>
          <w:p w14:paraId="40A01BE8" w14:textId="1A058510" w:rsidR="00947F1E" w:rsidRPr="00DF6D61" w:rsidRDefault="00947F1E" w:rsidP="00605F92">
            <w:pPr>
              <w:spacing w:line="259" w:lineRule="auto"/>
              <w:ind w:left="29"/>
              <w:rPr>
                <w:rFonts w:cs="Arial"/>
                <w:szCs w:val="22"/>
              </w:rPr>
            </w:pPr>
            <w:r>
              <w:rPr>
                <w:rFonts w:cs="Arial"/>
                <w:szCs w:val="22"/>
              </w:rPr>
              <w:t>7 January 2025</w:t>
            </w:r>
            <w:r w:rsidR="0023582C">
              <w:rPr>
                <w:rFonts w:cs="Arial"/>
                <w:szCs w:val="22"/>
              </w:rPr>
              <w:t xml:space="preserve"> </w:t>
            </w:r>
            <w:proofErr w:type="gramStart"/>
            <w:r w:rsidR="0023582C">
              <w:rPr>
                <w:rFonts w:cs="Arial"/>
                <w:szCs w:val="22"/>
              </w:rPr>
              <w:t xml:space="preserve">( </w:t>
            </w:r>
            <w:r w:rsidR="0023582C">
              <w:rPr>
                <w:rFonts w:cs="Arial"/>
                <w:szCs w:val="22"/>
              </w:rPr>
              <w:t>Version</w:t>
            </w:r>
            <w:proofErr w:type="gramEnd"/>
            <w:r w:rsidR="0023582C">
              <w:rPr>
                <w:rFonts w:cs="Arial"/>
                <w:szCs w:val="22"/>
              </w:rPr>
              <w:t xml:space="preserve"> 1 drafted 20 November 2024 and seen by all Committee on 26 November 2024</w:t>
            </w:r>
            <w:r w:rsidR="0023582C">
              <w:rPr>
                <w:rFonts w:cs="Arial"/>
                <w:szCs w:val="22"/>
              </w:rPr>
              <w:t>)</w:t>
            </w:r>
          </w:p>
        </w:tc>
      </w:tr>
      <w:tr w:rsidR="00947F1E" w14:paraId="591D5526" w14:textId="77777777" w:rsidTr="00605F92">
        <w:trPr>
          <w:trHeight w:val="462"/>
        </w:trPr>
        <w:tc>
          <w:tcPr>
            <w:tcW w:w="3041" w:type="dxa"/>
            <w:tcBorders>
              <w:top w:val="single" w:sz="2" w:space="0" w:color="000000"/>
              <w:left w:val="single" w:sz="2" w:space="0" w:color="000000"/>
              <w:bottom w:val="single" w:sz="2" w:space="0" w:color="000000"/>
              <w:right w:val="single" w:sz="2" w:space="0" w:color="000000"/>
            </w:tcBorders>
            <w:vAlign w:val="center"/>
          </w:tcPr>
          <w:p w14:paraId="20CCCE96" w14:textId="13F73637" w:rsidR="00947F1E" w:rsidRPr="00DF6D61" w:rsidRDefault="00947F1E" w:rsidP="00605F92">
            <w:pPr>
              <w:spacing w:line="259" w:lineRule="auto"/>
              <w:ind w:left="24"/>
              <w:rPr>
                <w:rFonts w:cs="Arial"/>
                <w:b/>
                <w:bCs/>
                <w:szCs w:val="22"/>
              </w:rPr>
            </w:pPr>
            <w:r w:rsidRPr="00DF6D61">
              <w:rPr>
                <w:rFonts w:cs="Arial"/>
                <w:b/>
                <w:bCs/>
                <w:szCs w:val="22"/>
              </w:rPr>
              <w:t xml:space="preserve">Date of </w:t>
            </w:r>
            <w:r w:rsidR="0023582C">
              <w:rPr>
                <w:rFonts w:cs="Arial"/>
                <w:b/>
                <w:bCs/>
                <w:szCs w:val="22"/>
              </w:rPr>
              <w:t xml:space="preserve">last </w:t>
            </w:r>
            <w:r w:rsidR="004362C4">
              <w:rPr>
                <w:rFonts w:cs="Arial"/>
                <w:b/>
                <w:bCs/>
                <w:szCs w:val="22"/>
              </w:rPr>
              <w:t>r</w:t>
            </w:r>
            <w:r w:rsidRPr="00DF6D61">
              <w:rPr>
                <w:rFonts w:cs="Arial"/>
                <w:b/>
                <w:bCs/>
                <w:szCs w:val="22"/>
              </w:rPr>
              <w:t>eview</w:t>
            </w:r>
          </w:p>
        </w:tc>
        <w:tc>
          <w:tcPr>
            <w:tcW w:w="7087" w:type="dxa"/>
            <w:tcBorders>
              <w:top w:val="single" w:sz="2" w:space="0" w:color="000000"/>
              <w:left w:val="single" w:sz="2" w:space="0" w:color="000000"/>
              <w:bottom w:val="single" w:sz="2" w:space="0" w:color="000000"/>
              <w:right w:val="single" w:sz="2" w:space="0" w:color="000000"/>
            </w:tcBorders>
            <w:vAlign w:val="center"/>
          </w:tcPr>
          <w:p w14:paraId="6C1E1520" w14:textId="2A2B4F3C" w:rsidR="00947F1E" w:rsidRPr="00DF6D61" w:rsidRDefault="0023582C" w:rsidP="00605F92">
            <w:pPr>
              <w:spacing w:line="259" w:lineRule="auto"/>
              <w:ind w:left="34"/>
              <w:rPr>
                <w:rFonts w:cs="Arial"/>
                <w:szCs w:val="22"/>
              </w:rPr>
            </w:pPr>
            <w:r>
              <w:rPr>
                <w:rFonts w:cs="Arial"/>
                <w:szCs w:val="22"/>
              </w:rPr>
              <w:t>October 2025</w:t>
            </w:r>
            <w:r w:rsidR="004362C4">
              <w:rPr>
                <w:rFonts w:cs="Arial"/>
                <w:szCs w:val="22"/>
              </w:rPr>
              <w:t xml:space="preserve"> - </w:t>
            </w:r>
            <w:proofErr w:type="spellStart"/>
            <w:r w:rsidR="004362C4">
              <w:rPr>
                <w:rFonts w:cs="Arial"/>
                <w:szCs w:val="22"/>
              </w:rPr>
              <w:t>Minuted</w:t>
            </w:r>
            <w:proofErr w:type="spellEnd"/>
            <w:r w:rsidR="004362C4">
              <w:rPr>
                <w:rFonts w:cs="Arial"/>
                <w:szCs w:val="22"/>
              </w:rPr>
              <w:t xml:space="preserve"> 4 November 2025</w:t>
            </w:r>
          </w:p>
        </w:tc>
      </w:tr>
      <w:tr w:rsidR="00947F1E" w14:paraId="0F95658F" w14:textId="77777777" w:rsidTr="00605F92">
        <w:trPr>
          <w:trHeight w:val="479"/>
        </w:trPr>
        <w:tc>
          <w:tcPr>
            <w:tcW w:w="3041" w:type="dxa"/>
            <w:tcBorders>
              <w:top w:val="single" w:sz="2" w:space="0" w:color="000000"/>
              <w:left w:val="single" w:sz="2" w:space="0" w:color="000000"/>
              <w:bottom w:val="single" w:sz="2" w:space="0" w:color="000000"/>
              <w:right w:val="single" w:sz="2" w:space="0" w:color="000000"/>
            </w:tcBorders>
            <w:vAlign w:val="center"/>
          </w:tcPr>
          <w:p w14:paraId="55587BA1" w14:textId="33308C24" w:rsidR="00947F1E" w:rsidRPr="00DF6D61" w:rsidRDefault="0023582C" w:rsidP="00605F92">
            <w:pPr>
              <w:spacing w:line="259" w:lineRule="auto"/>
              <w:ind w:left="14"/>
              <w:rPr>
                <w:rFonts w:cs="Arial"/>
                <w:b/>
                <w:bCs/>
                <w:szCs w:val="22"/>
              </w:rPr>
            </w:pPr>
            <w:r>
              <w:rPr>
                <w:rFonts w:cs="Arial"/>
                <w:b/>
                <w:bCs/>
              </w:rPr>
              <w:t>Date of next review</w:t>
            </w:r>
          </w:p>
        </w:tc>
        <w:tc>
          <w:tcPr>
            <w:tcW w:w="7087" w:type="dxa"/>
            <w:tcBorders>
              <w:top w:val="single" w:sz="2" w:space="0" w:color="000000"/>
              <w:left w:val="single" w:sz="2" w:space="0" w:color="000000"/>
              <w:bottom w:val="single" w:sz="2" w:space="0" w:color="000000"/>
              <w:right w:val="single" w:sz="2" w:space="0" w:color="000000"/>
            </w:tcBorders>
          </w:tcPr>
          <w:p w14:paraId="3E8BADC0" w14:textId="6470E1F2" w:rsidR="00947F1E" w:rsidRPr="00DF6D61" w:rsidRDefault="0023582C" w:rsidP="00605F92">
            <w:pPr>
              <w:spacing w:after="160" w:line="259" w:lineRule="auto"/>
              <w:rPr>
                <w:rFonts w:cs="Arial"/>
                <w:szCs w:val="22"/>
              </w:rPr>
            </w:pPr>
            <w:proofErr w:type="gramStart"/>
            <w:r>
              <w:rPr>
                <w:rFonts w:cs="Arial"/>
                <w:szCs w:val="22"/>
              </w:rPr>
              <w:t>October  -</w:t>
            </w:r>
            <w:proofErr w:type="gramEnd"/>
            <w:r>
              <w:rPr>
                <w:rFonts w:cs="Arial"/>
                <w:szCs w:val="22"/>
              </w:rPr>
              <w:t xml:space="preserve"> December 2026</w:t>
            </w:r>
          </w:p>
        </w:tc>
      </w:tr>
      <w:tr w:rsidR="00C56A86" w14:paraId="7D02F87E" w14:textId="77777777" w:rsidTr="00605F92">
        <w:trPr>
          <w:trHeight w:val="479"/>
        </w:trPr>
        <w:tc>
          <w:tcPr>
            <w:tcW w:w="3041" w:type="dxa"/>
            <w:tcBorders>
              <w:top w:val="single" w:sz="2" w:space="0" w:color="000000"/>
              <w:left w:val="single" w:sz="2" w:space="0" w:color="000000"/>
              <w:bottom w:val="single" w:sz="2" w:space="0" w:color="000000"/>
              <w:right w:val="single" w:sz="2" w:space="0" w:color="000000"/>
            </w:tcBorders>
            <w:vAlign w:val="center"/>
          </w:tcPr>
          <w:p w14:paraId="5FDABF54" w14:textId="417121FD" w:rsidR="00C56A86" w:rsidRDefault="004362C4" w:rsidP="00605F92">
            <w:pPr>
              <w:spacing w:line="259" w:lineRule="auto"/>
              <w:ind w:left="14"/>
              <w:rPr>
                <w:rFonts w:cs="Arial"/>
                <w:b/>
                <w:bCs/>
              </w:rPr>
            </w:pPr>
            <w:r>
              <w:rPr>
                <w:rFonts w:cs="Arial"/>
                <w:b/>
                <w:bCs/>
                <w:szCs w:val="22"/>
              </w:rPr>
              <w:t>Contact Details</w:t>
            </w:r>
          </w:p>
        </w:tc>
        <w:tc>
          <w:tcPr>
            <w:tcW w:w="7087" w:type="dxa"/>
            <w:tcBorders>
              <w:top w:val="single" w:sz="2" w:space="0" w:color="000000"/>
              <w:left w:val="single" w:sz="2" w:space="0" w:color="000000"/>
              <w:bottom w:val="single" w:sz="2" w:space="0" w:color="000000"/>
              <w:right w:val="single" w:sz="2" w:space="0" w:color="000000"/>
            </w:tcBorders>
          </w:tcPr>
          <w:p w14:paraId="65EAD53A" w14:textId="358A65C5" w:rsidR="00C56A86" w:rsidRDefault="004362C4" w:rsidP="00605F92">
            <w:pPr>
              <w:spacing w:after="160" w:line="259" w:lineRule="auto"/>
              <w:rPr>
                <w:rFonts w:cs="Arial"/>
              </w:rPr>
            </w:pPr>
            <w:r>
              <w:rPr>
                <w:rFonts w:cs="Arial"/>
                <w:szCs w:val="22"/>
              </w:rPr>
              <w:t xml:space="preserve">Ian Gerrard Secretary 01469 </w:t>
            </w:r>
            <w:proofErr w:type="gramStart"/>
            <w:r>
              <w:rPr>
                <w:rFonts w:cs="Arial"/>
                <w:szCs w:val="22"/>
              </w:rPr>
              <w:t>589000  ian@iangerrard.com</w:t>
            </w:r>
            <w:proofErr w:type="gramEnd"/>
          </w:p>
        </w:tc>
      </w:tr>
      <w:tr w:rsidR="0023582C" w14:paraId="1D0BFB20" w14:textId="77777777" w:rsidTr="004362C4">
        <w:trPr>
          <w:trHeight w:val="756"/>
        </w:trPr>
        <w:tc>
          <w:tcPr>
            <w:tcW w:w="3041" w:type="dxa"/>
            <w:tcBorders>
              <w:top w:val="single" w:sz="2" w:space="0" w:color="000000"/>
              <w:left w:val="single" w:sz="2" w:space="0" w:color="000000"/>
              <w:bottom w:val="single" w:sz="2" w:space="0" w:color="000000"/>
              <w:right w:val="single" w:sz="2" w:space="0" w:color="000000"/>
            </w:tcBorders>
            <w:vAlign w:val="center"/>
          </w:tcPr>
          <w:p w14:paraId="7165EB60" w14:textId="76A89C13" w:rsidR="0023582C" w:rsidRPr="00DF6D61" w:rsidRDefault="004362C4" w:rsidP="0023582C">
            <w:pPr>
              <w:spacing w:line="259" w:lineRule="auto"/>
              <w:ind w:left="24" w:right="14"/>
              <w:rPr>
                <w:rFonts w:cs="Arial"/>
                <w:b/>
                <w:bCs/>
                <w:szCs w:val="22"/>
              </w:rPr>
            </w:pPr>
            <w:proofErr w:type="gramStart"/>
            <w:r>
              <w:rPr>
                <w:rFonts w:cs="Arial"/>
                <w:b/>
                <w:bCs/>
                <w:szCs w:val="22"/>
              </w:rPr>
              <w:t>Chairman</w:t>
            </w:r>
            <w:proofErr w:type="gramEnd"/>
            <w:r>
              <w:rPr>
                <w:rFonts w:cs="Arial"/>
                <w:b/>
                <w:bCs/>
                <w:szCs w:val="22"/>
              </w:rPr>
              <w:t xml:space="preserve"> sign off and date</w:t>
            </w:r>
          </w:p>
        </w:tc>
        <w:tc>
          <w:tcPr>
            <w:tcW w:w="7087" w:type="dxa"/>
            <w:tcBorders>
              <w:top w:val="single" w:sz="2" w:space="0" w:color="000000"/>
              <w:left w:val="single" w:sz="2" w:space="0" w:color="000000"/>
              <w:bottom w:val="single" w:sz="2" w:space="0" w:color="000000"/>
              <w:right w:val="single" w:sz="2" w:space="0" w:color="000000"/>
            </w:tcBorders>
          </w:tcPr>
          <w:p w14:paraId="6E03A634" w14:textId="337BF59D" w:rsidR="0023582C" w:rsidRPr="00DF6D61" w:rsidRDefault="0023582C" w:rsidP="0023582C">
            <w:pPr>
              <w:spacing w:line="259" w:lineRule="auto"/>
              <w:ind w:left="24"/>
              <w:rPr>
                <w:rFonts w:cs="Arial"/>
                <w:szCs w:val="22"/>
              </w:rPr>
            </w:pPr>
          </w:p>
        </w:tc>
      </w:tr>
    </w:tbl>
    <w:p w14:paraId="6FADB331" w14:textId="77777777" w:rsidR="00947F1E" w:rsidRDefault="00947F1E" w:rsidP="00947F1E">
      <w:pPr>
        <w:spacing w:after="0" w:line="240" w:lineRule="auto"/>
        <w:rPr>
          <w:rFonts w:cs="Arial"/>
          <w:b/>
          <w:bCs/>
        </w:rPr>
      </w:pPr>
    </w:p>
    <w:p w14:paraId="04FD5CC3" w14:textId="4C70863D" w:rsidR="00947F1E" w:rsidRPr="00947F1E" w:rsidRDefault="00947F1E" w:rsidP="00497DE4">
      <w:pPr>
        <w:spacing w:after="0" w:line="240" w:lineRule="auto"/>
        <w:rPr>
          <w:b/>
          <w:bCs/>
          <w:sz w:val="28"/>
          <w:szCs w:val="28"/>
        </w:rPr>
      </w:pPr>
      <w:bookmarkStart w:id="0" w:name="_Toc183529730"/>
      <w:r w:rsidRPr="00947F1E">
        <w:rPr>
          <w:b/>
          <w:bCs/>
          <w:sz w:val="28"/>
          <w:szCs w:val="28"/>
        </w:rPr>
        <w:t>Introduction</w:t>
      </w:r>
      <w:bookmarkEnd w:id="0"/>
      <w:r w:rsidRPr="00947F1E">
        <w:rPr>
          <w:b/>
          <w:bCs/>
          <w:sz w:val="28"/>
          <w:szCs w:val="28"/>
        </w:rPr>
        <w:t xml:space="preserve"> </w:t>
      </w:r>
    </w:p>
    <w:p w14:paraId="12BE8FBD" w14:textId="3C69C18D" w:rsidR="00947F1E" w:rsidRPr="00947F1E" w:rsidRDefault="00947F1E" w:rsidP="003E03E2">
      <w:pPr>
        <w:spacing w:after="0" w:line="240" w:lineRule="auto"/>
      </w:pPr>
      <w:r w:rsidRPr="00947F1E">
        <w:t xml:space="preserve">This policy applies to the Board of Trustees, volunteers who serve on the Management Committee, and anyone who works for the hall in any capacity. Wootton Village Hall Management Committee expects a high standard of conduct, integrity and loyalty from its volunteers. </w:t>
      </w:r>
    </w:p>
    <w:p w14:paraId="2ECDF358" w14:textId="77777777" w:rsidR="003E03E2" w:rsidRDefault="003E03E2" w:rsidP="003E03E2">
      <w:pPr>
        <w:spacing w:after="0" w:line="240" w:lineRule="auto"/>
      </w:pPr>
    </w:p>
    <w:p w14:paraId="29E03070" w14:textId="5C04CF84" w:rsidR="00947F1E" w:rsidRDefault="00947F1E" w:rsidP="003E03E2">
      <w:pPr>
        <w:spacing w:after="0" w:line="240" w:lineRule="auto"/>
      </w:pPr>
      <w:r w:rsidRPr="00947F1E">
        <w:t xml:space="preserve">This is set out </w:t>
      </w:r>
      <w:r w:rsidR="00022F19">
        <w:t xml:space="preserve">specifically in the </w:t>
      </w:r>
      <w:r w:rsidRPr="0015036F">
        <w:t xml:space="preserve">Code of Conduct </w:t>
      </w:r>
      <w:r w:rsidRPr="00947F1E">
        <w:t xml:space="preserve">and </w:t>
      </w:r>
      <w:r w:rsidR="00022F19">
        <w:t xml:space="preserve">in the various </w:t>
      </w:r>
      <w:r w:rsidRPr="00947F1E">
        <w:t xml:space="preserve">Volunteer Policies available on the website or on request. Volunteers should expect the same from the Management Committee. A </w:t>
      </w:r>
      <w:r w:rsidRPr="0015036F">
        <w:t xml:space="preserve">Code of Conduct agreement form </w:t>
      </w:r>
      <w:r w:rsidRPr="00947F1E">
        <w:t xml:space="preserve">is signed by all Trustees and Committee members. </w:t>
      </w:r>
    </w:p>
    <w:p w14:paraId="29CB6488" w14:textId="77777777" w:rsidR="003E03E2" w:rsidRPr="00947F1E" w:rsidRDefault="003E03E2" w:rsidP="003E03E2">
      <w:pPr>
        <w:spacing w:after="0" w:line="240" w:lineRule="auto"/>
      </w:pPr>
    </w:p>
    <w:p w14:paraId="18AF02A5" w14:textId="77777777" w:rsidR="00947F1E" w:rsidRPr="00947F1E" w:rsidRDefault="00947F1E" w:rsidP="00947F1E">
      <w:r w:rsidRPr="00947F1E">
        <w:t xml:space="preserve">Disciplinary and Grievance procedures are helpful to the proper and successful functioning of the Hall and exist to ensure that issues are addressed and all individuals are treated fairly. </w:t>
      </w:r>
    </w:p>
    <w:p w14:paraId="0D053223" w14:textId="77777777" w:rsidR="00947F1E" w:rsidRPr="00947F1E" w:rsidRDefault="00947F1E" w:rsidP="00947F1E">
      <w:r w:rsidRPr="00947F1E">
        <w:t xml:space="preserve">Volunteers and Trustees are encouraged to discuss ordinary, day to day concerns informally. This allows them to be addressed promptly and can stop situations escalating unnecessarily. </w:t>
      </w:r>
    </w:p>
    <w:p w14:paraId="7624A53F" w14:textId="418E4C7D" w:rsidR="00947F1E" w:rsidRPr="00947F1E" w:rsidRDefault="00947F1E" w:rsidP="00497DE4">
      <w:pPr>
        <w:spacing w:after="0" w:line="240" w:lineRule="auto"/>
        <w:rPr>
          <w:b/>
          <w:bCs/>
          <w:sz w:val="28"/>
          <w:szCs w:val="28"/>
        </w:rPr>
      </w:pPr>
      <w:bookmarkStart w:id="1" w:name="_Toc183529731"/>
      <w:r w:rsidRPr="00947F1E">
        <w:rPr>
          <w:b/>
          <w:bCs/>
          <w:sz w:val="28"/>
          <w:szCs w:val="28"/>
        </w:rPr>
        <w:t>Disciplinary Procedure</w:t>
      </w:r>
      <w:bookmarkEnd w:id="1"/>
    </w:p>
    <w:p w14:paraId="1AF046A2" w14:textId="23730FCF" w:rsidR="00947F1E" w:rsidRDefault="00947F1E" w:rsidP="00497DE4">
      <w:pPr>
        <w:spacing w:after="0" w:line="240" w:lineRule="auto"/>
      </w:pPr>
      <w:r w:rsidRPr="00947F1E">
        <w:t xml:space="preserve">The Disciplinary Procedure should be used to deal with situations where conduct calls the Hall into disrepute or seriously impairs its efficient running. The procedure applies to all volunteers. </w:t>
      </w:r>
    </w:p>
    <w:p w14:paraId="43E1D0B7" w14:textId="77777777" w:rsidR="00497DE4" w:rsidRPr="00947F1E" w:rsidRDefault="00497DE4" w:rsidP="0015036F">
      <w:pPr>
        <w:spacing w:after="0" w:line="240" w:lineRule="auto"/>
      </w:pPr>
    </w:p>
    <w:p w14:paraId="0ED2718C" w14:textId="77777777" w:rsidR="00947F1E" w:rsidRPr="00947F1E" w:rsidRDefault="00947F1E" w:rsidP="0015036F">
      <w:pPr>
        <w:spacing w:after="0" w:line="240" w:lineRule="auto"/>
      </w:pPr>
      <w:r w:rsidRPr="00947F1E">
        <w:t>Examples of misconduct which may lead to formal disciplinary action being taken are as follows:</w:t>
      </w:r>
    </w:p>
    <w:p w14:paraId="3A5AC048" w14:textId="77777777" w:rsidR="00947F1E" w:rsidRPr="00947F1E" w:rsidRDefault="00947F1E" w:rsidP="0015036F">
      <w:pPr>
        <w:spacing w:after="0" w:line="240" w:lineRule="auto"/>
      </w:pPr>
      <w:r w:rsidRPr="00947F1E">
        <w:t xml:space="preserve">• Refusal to comply with reasonable requests from the other trustees </w:t>
      </w:r>
    </w:p>
    <w:p w14:paraId="468F5B61" w14:textId="77777777" w:rsidR="00947F1E" w:rsidRPr="00947F1E" w:rsidRDefault="00947F1E" w:rsidP="0015036F">
      <w:pPr>
        <w:spacing w:after="0" w:line="240" w:lineRule="auto"/>
      </w:pPr>
      <w:r w:rsidRPr="00947F1E">
        <w:t xml:space="preserve">• Prolonged absence from a role where specified duties and/or attendance is required </w:t>
      </w:r>
    </w:p>
    <w:p w14:paraId="04B16E2F" w14:textId="77777777" w:rsidR="00947F1E" w:rsidRPr="00947F1E" w:rsidRDefault="00947F1E" w:rsidP="0015036F">
      <w:pPr>
        <w:spacing w:after="0" w:line="240" w:lineRule="auto"/>
      </w:pPr>
      <w:r w:rsidRPr="00947F1E">
        <w:t>• Incapacity to perform duties effectively due to substance abuse</w:t>
      </w:r>
    </w:p>
    <w:p w14:paraId="25DCC1AA" w14:textId="77777777" w:rsidR="00947F1E" w:rsidRPr="00947F1E" w:rsidRDefault="00947F1E" w:rsidP="0015036F">
      <w:pPr>
        <w:spacing w:after="0" w:line="240" w:lineRule="auto"/>
      </w:pPr>
      <w:r w:rsidRPr="00947F1E">
        <w:t xml:space="preserve">• Harassment of any Hall employees, volunteers or visitors </w:t>
      </w:r>
    </w:p>
    <w:p w14:paraId="20FE6044" w14:textId="77777777" w:rsidR="00947F1E" w:rsidRPr="00947F1E" w:rsidRDefault="00947F1E" w:rsidP="0015036F">
      <w:pPr>
        <w:spacing w:after="0" w:line="240" w:lineRule="auto"/>
      </w:pPr>
      <w:r w:rsidRPr="00947F1E">
        <w:t xml:space="preserve">• Breach of confidentiality </w:t>
      </w:r>
    </w:p>
    <w:p w14:paraId="59BFCB72" w14:textId="77777777" w:rsidR="00947F1E" w:rsidRPr="00947F1E" w:rsidRDefault="00947F1E" w:rsidP="0015036F">
      <w:pPr>
        <w:spacing w:after="0" w:line="240" w:lineRule="auto"/>
      </w:pPr>
      <w:r w:rsidRPr="00947F1E">
        <w:t xml:space="preserve">• Breach of Hall regulations, policies or conditions </w:t>
      </w:r>
    </w:p>
    <w:p w14:paraId="2DECBDD7" w14:textId="77777777" w:rsidR="00947F1E" w:rsidRPr="00947F1E" w:rsidRDefault="00947F1E" w:rsidP="0015036F">
      <w:pPr>
        <w:spacing w:after="0" w:line="240" w:lineRule="auto"/>
      </w:pPr>
      <w:r w:rsidRPr="00947F1E">
        <w:t xml:space="preserve">• Serious misrepresentation or negative representation of the Hall or the Management Committee </w:t>
      </w:r>
    </w:p>
    <w:p w14:paraId="6E3BAA62" w14:textId="77777777" w:rsidR="00947F1E" w:rsidRDefault="00947F1E" w:rsidP="0015036F">
      <w:pPr>
        <w:spacing w:after="0" w:line="240" w:lineRule="auto"/>
      </w:pPr>
      <w:r w:rsidRPr="00947F1E">
        <w:t>• Unsatisfactory performance of the duties of the role</w:t>
      </w:r>
    </w:p>
    <w:p w14:paraId="551E9FD7" w14:textId="77777777" w:rsidR="006101DB" w:rsidRDefault="006101DB" w:rsidP="0015036F">
      <w:pPr>
        <w:spacing w:after="0" w:line="240" w:lineRule="auto"/>
      </w:pPr>
    </w:p>
    <w:p w14:paraId="40C58892" w14:textId="77777777" w:rsidR="006101DB" w:rsidRPr="00947F1E" w:rsidRDefault="006101DB" w:rsidP="0015036F">
      <w:pPr>
        <w:spacing w:after="0" w:line="240" w:lineRule="auto"/>
      </w:pPr>
    </w:p>
    <w:p w14:paraId="7964F6E0" w14:textId="77777777" w:rsidR="0015036F" w:rsidRDefault="0015036F" w:rsidP="00497DE4">
      <w:pPr>
        <w:spacing w:after="0" w:line="240" w:lineRule="auto"/>
        <w:rPr>
          <w:sz w:val="28"/>
          <w:szCs w:val="28"/>
        </w:rPr>
      </w:pPr>
      <w:bookmarkStart w:id="2" w:name="_Toc183529732"/>
    </w:p>
    <w:p w14:paraId="63FBE0B0" w14:textId="7259C845" w:rsidR="00947F1E" w:rsidRPr="0015036F" w:rsidRDefault="00947F1E" w:rsidP="00497DE4">
      <w:pPr>
        <w:spacing w:after="0" w:line="240" w:lineRule="auto"/>
        <w:rPr>
          <w:b/>
          <w:bCs/>
          <w:sz w:val="28"/>
          <w:szCs w:val="28"/>
        </w:rPr>
      </w:pPr>
      <w:r w:rsidRPr="0015036F">
        <w:rPr>
          <w:b/>
          <w:bCs/>
          <w:sz w:val="28"/>
          <w:szCs w:val="28"/>
        </w:rPr>
        <w:lastRenderedPageBreak/>
        <w:t>Informal Procedure</w:t>
      </w:r>
      <w:bookmarkEnd w:id="2"/>
      <w:r w:rsidRPr="0015036F">
        <w:rPr>
          <w:b/>
          <w:bCs/>
          <w:sz w:val="28"/>
          <w:szCs w:val="28"/>
        </w:rPr>
        <w:t xml:space="preserve"> </w:t>
      </w:r>
    </w:p>
    <w:p w14:paraId="39E10D3B" w14:textId="56996901" w:rsidR="00497DE4" w:rsidRPr="00947F1E" w:rsidRDefault="00947F1E" w:rsidP="00497DE4">
      <w:pPr>
        <w:spacing w:after="0" w:line="240" w:lineRule="auto"/>
        <w:rPr>
          <w:color w:val="FF0000"/>
        </w:rPr>
      </w:pPr>
      <w:r w:rsidRPr="00947F1E">
        <w:t>In the event of an issue arising, the Chair or Secretary should arrange to have an informal discussion with the volunteer. This should result in sufficient improvement within a given timescale, so that no further action needs to be taken. This meeting will be conducted informally and a confidential note that a verbal warning was given kept on file</w:t>
      </w:r>
      <w:r w:rsidR="00497DE4">
        <w:t xml:space="preserve"> </w:t>
      </w:r>
      <w:r w:rsidR="00497DE4" w:rsidRPr="0015036F">
        <w:t>if appropriate</w:t>
      </w:r>
      <w:r w:rsidR="0015036F">
        <w:t>.</w:t>
      </w:r>
    </w:p>
    <w:p w14:paraId="6CD1F9CB" w14:textId="77777777" w:rsidR="0015036F" w:rsidRDefault="0015036F" w:rsidP="00497DE4">
      <w:pPr>
        <w:spacing w:after="0" w:line="240" w:lineRule="auto"/>
        <w:rPr>
          <w:b/>
          <w:bCs/>
          <w:sz w:val="28"/>
          <w:szCs w:val="28"/>
        </w:rPr>
      </w:pPr>
      <w:bookmarkStart w:id="3" w:name="_Toc183529733"/>
    </w:p>
    <w:p w14:paraId="5FDF031A" w14:textId="3B595300" w:rsidR="00947F1E" w:rsidRPr="00947F1E" w:rsidRDefault="00947F1E" w:rsidP="00497DE4">
      <w:pPr>
        <w:spacing w:after="0" w:line="240" w:lineRule="auto"/>
        <w:rPr>
          <w:b/>
          <w:bCs/>
          <w:sz w:val="28"/>
          <w:szCs w:val="28"/>
        </w:rPr>
      </w:pPr>
      <w:r w:rsidRPr="00947F1E">
        <w:rPr>
          <w:b/>
          <w:bCs/>
          <w:sz w:val="28"/>
          <w:szCs w:val="28"/>
        </w:rPr>
        <w:t>Formal Procedures</w:t>
      </w:r>
      <w:bookmarkEnd w:id="3"/>
    </w:p>
    <w:p w14:paraId="0986F3E3" w14:textId="77777777" w:rsidR="00947F1E" w:rsidRDefault="00947F1E" w:rsidP="00497DE4">
      <w:pPr>
        <w:spacing w:after="0" w:line="240" w:lineRule="auto"/>
      </w:pPr>
      <w:r w:rsidRPr="00947F1E">
        <w:t xml:space="preserve">If the informal discussions have not improved the volunteer's conduct or performance within the given timescale or if it emerges that there are allegations of a serious nature, the Chair or Secretary should arrange a formal meeting with the volunteer. </w:t>
      </w:r>
    </w:p>
    <w:p w14:paraId="388AB275" w14:textId="77777777" w:rsidR="00497DE4" w:rsidRPr="00947F1E" w:rsidRDefault="00497DE4" w:rsidP="00497DE4">
      <w:pPr>
        <w:spacing w:after="0" w:line="240" w:lineRule="auto"/>
      </w:pPr>
    </w:p>
    <w:p w14:paraId="1947041D" w14:textId="7C1561CD" w:rsidR="00947F1E" w:rsidRPr="00947F1E" w:rsidRDefault="00947F1E" w:rsidP="006D67F9">
      <w:pPr>
        <w:spacing w:after="0" w:line="240" w:lineRule="auto"/>
      </w:pPr>
      <w:r w:rsidRPr="00947F1E">
        <w:t xml:space="preserve">• The </w:t>
      </w:r>
      <w:r w:rsidR="00B8025A" w:rsidRPr="006101DB">
        <w:t>individual</w:t>
      </w:r>
      <w:r w:rsidRPr="006101DB">
        <w:t xml:space="preserve"> </w:t>
      </w:r>
      <w:r w:rsidRPr="00947F1E">
        <w:t xml:space="preserve">should be informed of the date and time of the meeting in writing, and given every opportunity to attend </w:t>
      </w:r>
    </w:p>
    <w:p w14:paraId="54758C4C" w14:textId="77777777" w:rsidR="00947F1E" w:rsidRPr="00947F1E" w:rsidRDefault="00947F1E" w:rsidP="006D67F9">
      <w:pPr>
        <w:spacing w:after="0" w:line="240" w:lineRule="auto"/>
      </w:pPr>
      <w:r w:rsidRPr="00947F1E">
        <w:t xml:space="preserve">• This should include a statement setting out in writing the volunteer’s alleged conduct, characteristics, or other circumstances, which have led to action being contemplated </w:t>
      </w:r>
    </w:p>
    <w:p w14:paraId="3C942F8E" w14:textId="77777777" w:rsidR="00947F1E" w:rsidRPr="00947F1E" w:rsidRDefault="00947F1E" w:rsidP="006D67F9">
      <w:pPr>
        <w:spacing w:after="0" w:line="240" w:lineRule="auto"/>
      </w:pPr>
      <w:r w:rsidRPr="00947F1E">
        <w:t xml:space="preserve">• The volunteer should be given the opportunity to bring a friend or colleague and a reasonable opportunity (usually one week) to consider their response to the information given to them </w:t>
      </w:r>
    </w:p>
    <w:p w14:paraId="1BF11C4D" w14:textId="77777777" w:rsidR="00947F1E" w:rsidRPr="00947F1E" w:rsidRDefault="00947F1E" w:rsidP="006D67F9">
      <w:pPr>
        <w:spacing w:after="0" w:line="240" w:lineRule="auto"/>
      </w:pPr>
      <w:r w:rsidRPr="00947F1E">
        <w:t xml:space="preserve">• The meeting should be held in a quiet room which will be free of interruptions </w:t>
      </w:r>
    </w:p>
    <w:p w14:paraId="0BD774EA" w14:textId="77777777" w:rsidR="00947F1E" w:rsidRPr="00947F1E" w:rsidRDefault="00947F1E" w:rsidP="006D67F9">
      <w:pPr>
        <w:spacing w:after="0" w:line="240" w:lineRule="auto"/>
      </w:pPr>
      <w:r w:rsidRPr="00947F1E">
        <w:t xml:space="preserve">• The meeting should be held by the Chair or Secretary with at least one other person besides the volunteer present to take notes </w:t>
      </w:r>
    </w:p>
    <w:p w14:paraId="63ACFEA9" w14:textId="77777777" w:rsidR="00947F1E" w:rsidRPr="00947F1E" w:rsidRDefault="00947F1E" w:rsidP="006D67F9">
      <w:pPr>
        <w:spacing w:after="0" w:line="240" w:lineRule="auto"/>
      </w:pPr>
      <w:r w:rsidRPr="00947F1E">
        <w:t xml:space="preserve">• The volunteer should be given an opportunity to fully explain their side of the story and to respond to allegations </w:t>
      </w:r>
    </w:p>
    <w:p w14:paraId="7EB2886F" w14:textId="77777777" w:rsidR="00947F1E" w:rsidRDefault="00947F1E" w:rsidP="006D67F9">
      <w:pPr>
        <w:spacing w:after="0" w:line="240" w:lineRule="auto"/>
      </w:pPr>
      <w:r w:rsidRPr="00947F1E">
        <w:t xml:space="preserve">• If reasonable steps to attend the meeting are not taken by the volunteer, the meeting may continue in their absence </w:t>
      </w:r>
    </w:p>
    <w:p w14:paraId="634F2A38" w14:textId="77777777" w:rsidR="00F35395" w:rsidRDefault="00F35395" w:rsidP="006D67F9">
      <w:pPr>
        <w:spacing w:after="0" w:line="240" w:lineRule="auto"/>
      </w:pPr>
    </w:p>
    <w:p w14:paraId="5E063042" w14:textId="346965A4" w:rsidR="00F35395" w:rsidRPr="006101DB" w:rsidRDefault="00F35395" w:rsidP="006D67F9">
      <w:pPr>
        <w:spacing w:after="0" w:line="240" w:lineRule="auto"/>
      </w:pPr>
      <w:r w:rsidRPr="006101DB">
        <w:t>For both informal</w:t>
      </w:r>
      <w:r w:rsidR="00734CEF" w:rsidRPr="006101DB">
        <w:t xml:space="preserve"> and formal </w:t>
      </w:r>
      <w:r w:rsidR="00332CB8" w:rsidRPr="006101DB">
        <w:t>procedures</w:t>
      </w:r>
      <w:r w:rsidR="00471C67" w:rsidRPr="006101DB">
        <w:t xml:space="preserve"> should the </w:t>
      </w:r>
      <w:r w:rsidR="008A1785" w:rsidRPr="006101DB">
        <w:t xml:space="preserve">grievance </w:t>
      </w:r>
      <w:r w:rsidR="00E015FC" w:rsidRPr="006101DB">
        <w:t>involve</w:t>
      </w:r>
      <w:r w:rsidR="005A79D4" w:rsidRPr="006101DB">
        <w:t xml:space="preserve"> the </w:t>
      </w:r>
      <w:r w:rsidR="006101DB" w:rsidRPr="006101DB">
        <w:t>C</w:t>
      </w:r>
      <w:r w:rsidR="005A79D4" w:rsidRPr="006101DB">
        <w:t xml:space="preserve">hairman or </w:t>
      </w:r>
      <w:r w:rsidR="006101DB" w:rsidRPr="006101DB">
        <w:t>S</w:t>
      </w:r>
      <w:r w:rsidR="005A79D4" w:rsidRPr="006101DB">
        <w:t xml:space="preserve">ecretary the following </w:t>
      </w:r>
      <w:r w:rsidR="00716D86" w:rsidRPr="006101DB">
        <w:t xml:space="preserve">should apply. A committee member not involved </w:t>
      </w:r>
      <w:r w:rsidR="00B608EE" w:rsidRPr="006101DB">
        <w:t xml:space="preserve">or named </w:t>
      </w:r>
      <w:r w:rsidR="00716D86" w:rsidRPr="006101DB">
        <w:t xml:space="preserve">in the </w:t>
      </w:r>
      <w:r w:rsidR="00B608EE" w:rsidRPr="006101DB">
        <w:t>actual grievance should</w:t>
      </w:r>
      <w:r w:rsidR="00332CB8" w:rsidRPr="006101DB">
        <w:t xml:space="preserve"> manage </w:t>
      </w:r>
      <w:r w:rsidR="002B03AA" w:rsidRPr="006101DB">
        <w:t>the process through to a conclusion</w:t>
      </w:r>
      <w:r w:rsidR="00B8025A" w:rsidRPr="006101DB">
        <w:t xml:space="preserve"> as per the policy.</w:t>
      </w:r>
    </w:p>
    <w:p w14:paraId="0E747864" w14:textId="77777777" w:rsidR="006D67F9" w:rsidRPr="00B8025A" w:rsidRDefault="006D67F9" w:rsidP="00497DE4">
      <w:pPr>
        <w:spacing w:after="0" w:line="240" w:lineRule="auto"/>
        <w:rPr>
          <w:b/>
          <w:bCs/>
          <w:color w:val="EE0000"/>
          <w:sz w:val="28"/>
          <w:szCs w:val="28"/>
        </w:rPr>
      </w:pPr>
      <w:bookmarkStart w:id="4" w:name="_Toc183529734"/>
    </w:p>
    <w:p w14:paraId="1C9F621E" w14:textId="62450F9A" w:rsidR="00947F1E" w:rsidRPr="00947F1E" w:rsidRDefault="00947F1E" w:rsidP="00497DE4">
      <w:pPr>
        <w:spacing w:after="0" w:line="240" w:lineRule="auto"/>
        <w:rPr>
          <w:b/>
          <w:bCs/>
          <w:sz w:val="28"/>
          <w:szCs w:val="28"/>
        </w:rPr>
      </w:pPr>
      <w:r w:rsidRPr="00947F1E">
        <w:rPr>
          <w:b/>
          <w:bCs/>
          <w:sz w:val="28"/>
          <w:szCs w:val="28"/>
        </w:rPr>
        <w:t>Potential Outcomes</w:t>
      </w:r>
      <w:bookmarkEnd w:id="4"/>
    </w:p>
    <w:p w14:paraId="5050FA47" w14:textId="5F41AB20" w:rsidR="00947F1E" w:rsidRPr="00947F1E" w:rsidRDefault="00947F1E" w:rsidP="00497DE4">
      <w:pPr>
        <w:spacing w:after="0" w:line="240" w:lineRule="auto"/>
      </w:pPr>
      <w:r w:rsidRPr="00947F1E">
        <w:t xml:space="preserve">A hearing may result in no warning at all being issued, a verbal warning (that will be confirmed in writing), a written warning, a final written warning or a dismissal. Following the meeting the volunteer must be informed of the decision made in writing (within 48 hrs) to include, how long it will last, the action which may be taken if there is insufficient improvement, the right to appeal and details of a named person to whom they can appeal. A copy will be filed in the volunteer records, where it will remain for the relevant duration. </w:t>
      </w:r>
    </w:p>
    <w:p w14:paraId="146646CF" w14:textId="77777777" w:rsidR="00A35F1C" w:rsidRDefault="00A35F1C" w:rsidP="00497DE4">
      <w:pPr>
        <w:spacing w:after="0" w:line="240" w:lineRule="auto"/>
        <w:rPr>
          <w:b/>
          <w:bCs/>
          <w:sz w:val="28"/>
          <w:szCs w:val="28"/>
        </w:rPr>
      </w:pPr>
      <w:bookmarkStart w:id="5" w:name="_Toc183529735"/>
    </w:p>
    <w:p w14:paraId="4CDD9179" w14:textId="5B382813" w:rsidR="00947F1E" w:rsidRPr="00947F1E" w:rsidRDefault="00947F1E" w:rsidP="00497DE4">
      <w:pPr>
        <w:spacing w:after="0" w:line="240" w:lineRule="auto"/>
        <w:rPr>
          <w:b/>
          <w:bCs/>
          <w:sz w:val="28"/>
          <w:szCs w:val="28"/>
        </w:rPr>
      </w:pPr>
      <w:r w:rsidRPr="00947F1E">
        <w:rPr>
          <w:b/>
          <w:bCs/>
          <w:sz w:val="28"/>
          <w:szCs w:val="28"/>
        </w:rPr>
        <w:t>Appeals Procedure</w:t>
      </w:r>
      <w:bookmarkEnd w:id="5"/>
      <w:r w:rsidRPr="00947F1E">
        <w:rPr>
          <w:b/>
          <w:bCs/>
          <w:sz w:val="28"/>
          <w:szCs w:val="28"/>
        </w:rPr>
        <w:t xml:space="preserve"> </w:t>
      </w:r>
    </w:p>
    <w:p w14:paraId="74F6CD21" w14:textId="2FD67CB6" w:rsidR="00947F1E" w:rsidRDefault="00947F1E" w:rsidP="00497DE4">
      <w:pPr>
        <w:spacing w:after="0" w:line="240" w:lineRule="auto"/>
      </w:pPr>
      <w:r w:rsidRPr="00947F1E">
        <w:t xml:space="preserve">If </w:t>
      </w:r>
      <w:r w:rsidRPr="006101DB">
        <w:t>a</w:t>
      </w:r>
      <w:r w:rsidR="00480B43" w:rsidRPr="006101DB">
        <w:t xml:space="preserve">n </w:t>
      </w:r>
      <w:proofErr w:type="gramStart"/>
      <w:r w:rsidR="00480B43" w:rsidRPr="006101DB">
        <w:t>individual</w:t>
      </w:r>
      <w:r w:rsidRPr="006101DB">
        <w:t xml:space="preserve">  </w:t>
      </w:r>
      <w:r w:rsidRPr="00947F1E">
        <w:t>wishes</w:t>
      </w:r>
      <w:proofErr w:type="gramEnd"/>
      <w:r w:rsidRPr="00947F1E">
        <w:t xml:space="preserve"> to appeal, they must write to the Chair or Secretary giving their reasons for their appeal. The Chair or Secretary will be responsible for arranging a meeting with the volunteer who must take all reasonable steps to attend. The volunteer will also have an opportunity to be accompanied to this meeting. </w:t>
      </w:r>
    </w:p>
    <w:p w14:paraId="0AA39B0A" w14:textId="77777777" w:rsidR="00497DE4" w:rsidRPr="00947F1E" w:rsidRDefault="00497DE4" w:rsidP="00497DE4">
      <w:pPr>
        <w:spacing w:after="0" w:line="240" w:lineRule="auto"/>
      </w:pPr>
    </w:p>
    <w:p w14:paraId="3B286007" w14:textId="6CE86785" w:rsidR="00947F1E" w:rsidRDefault="00947F1E" w:rsidP="00947F1E">
      <w:r w:rsidRPr="00947F1E">
        <w:t xml:space="preserve">Following the meeting the </w:t>
      </w:r>
      <w:r w:rsidR="00A11A08" w:rsidRPr="006101DB">
        <w:t>individual</w:t>
      </w:r>
      <w:r w:rsidRPr="006101DB">
        <w:t xml:space="preserve"> </w:t>
      </w:r>
      <w:r w:rsidRPr="00947F1E">
        <w:t xml:space="preserve">must receive written notification of the final decision within 28 days A confidential copy will be kept in the volunteers file by the Chair or Secretary. </w:t>
      </w:r>
    </w:p>
    <w:p w14:paraId="5F4D0161" w14:textId="31A7C046" w:rsidR="00947F1E" w:rsidRPr="00947F1E" w:rsidRDefault="00947F1E" w:rsidP="00497DE4">
      <w:pPr>
        <w:spacing w:after="0" w:line="240" w:lineRule="auto"/>
        <w:rPr>
          <w:b/>
          <w:bCs/>
          <w:sz w:val="28"/>
          <w:szCs w:val="28"/>
        </w:rPr>
      </w:pPr>
      <w:bookmarkStart w:id="6" w:name="_Toc183529736"/>
      <w:r w:rsidRPr="00947F1E">
        <w:rPr>
          <w:b/>
          <w:bCs/>
          <w:sz w:val="28"/>
          <w:szCs w:val="28"/>
        </w:rPr>
        <w:t>Grievance Procedure</w:t>
      </w:r>
      <w:bookmarkEnd w:id="6"/>
      <w:r w:rsidRPr="00947F1E">
        <w:rPr>
          <w:b/>
          <w:bCs/>
          <w:sz w:val="28"/>
          <w:szCs w:val="28"/>
        </w:rPr>
        <w:t xml:space="preserve"> </w:t>
      </w:r>
    </w:p>
    <w:p w14:paraId="710FCF20" w14:textId="6E4A05F0" w:rsidR="00947F1E" w:rsidRDefault="00947F1E" w:rsidP="00497DE4">
      <w:pPr>
        <w:spacing w:after="0" w:line="240" w:lineRule="auto"/>
      </w:pPr>
      <w:r w:rsidRPr="00947F1E">
        <w:t>The Grievance Procedure should be used where informal discussions are unsuccessful in resolving a situation, or circumstances make this route inappropriate. Examples of grievances that may be raised include complaints regarding:</w:t>
      </w:r>
    </w:p>
    <w:p w14:paraId="4C6F3CE2" w14:textId="77777777" w:rsidR="00497DE4" w:rsidRPr="00947F1E" w:rsidRDefault="00497DE4" w:rsidP="00497DE4">
      <w:pPr>
        <w:spacing w:after="0" w:line="240" w:lineRule="auto"/>
      </w:pPr>
    </w:p>
    <w:p w14:paraId="0689EB0D" w14:textId="77777777" w:rsidR="00947F1E" w:rsidRPr="00947F1E" w:rsidRDefault="00947F1E" w:rsidP="00947F1E">
      <w:r w:rsidRPr="00947F1E">
        <w:t xml:space="preserve">• Management of the Hall </w:t>
      </w:r>
    </w:p>
    <w:p w14:paraId="740AFEE7" w14:textId="77777777" w:rsidR="00947F1E" w:rsidRPr="00947F1E" w:rsidRDefault="00947F1E" w:rsidP="00947F1E">
      <w:r w:rsidRPr="00947F1E">
        <w:t xml:space="preserve">• Harassment, bullying or discrimination </w:t>
      </w:r>
    </w:p>
    <w:p w14:paraId="64E1D210" w14:textId="77777777" w:rsidR="00947F1E" w:rsidRPr="00947F1E" w:rsidRDefault="00947F1E" w:rsidP="00947F1E">
      <w:r w:rsidRPr="00947F1E">
        <w:t xml:space="preserve">• Health and safety </w:t>
      </w:r>
    </w:p>
    <w:p w14:paraId="46448A40" w14:textId="77777777" w:rsidR="00947F1E" w:rsidRPr="00947F1E" w:rsidRDefault="00947F1E" w:rsidP="00947F1E">
      <w:r w:rsidRPr="00947F1E">
        <w:t xml:space="preserve">• Unmanageable workload </w:t>
      </w:r>
    </w:p>
    <w:p w14:paraId="4E789C4E" w14:textId="76891358" w:rsidR="00947F1E" w:rsidRPr="00947F1E" w:rsidRDefault="00947F1E" w:rsidP="00947F1E">
      <w:r w:rsidRPr="00947F1E">
        <w:t xml:space="preserve">1. </w:t>
      </w:r>
      <w:r w:rsidRPr="006101DB">
        <w:t>A</w:t>
      </w:r>
      <w:r w:rsidR="00E804CC" w:rsidRPr="006101DB">
        <w:t>n individual</w:t>
      </w:r>
      <w:r w:rsidRPr="006101DB">
        <w:t xml:space="preserve"> </w:t>
      </w:r>
      <w:r w:rsidRPr="00947F1E">
        <w:t xml:space="preserve">with a grievance should first write to the Chair or Secretary explaining their concerns. </w:t>
      </w:r>
    </w:p>
    <w:p w14:paraId="2415E57C" w14:textId="53D693D3" w:rsidR="00947F1E" w:rsidRPr="00947F1E" w:rsidRDefault="00947F1E" w:rsidP="00947F1E">
      <w:r w:rsidRPr="00947F1E">
        <w:lastRenderedPageBreak/>
        <w:t xml:space="preserve">2. The </w:t>
      </w:r>
      <w:r w:rsidR="00E015FC" w:rsidRPr="006101DB">
        <w:t>individual</w:t>
      </w:r>
      <w:r w:rsidRPr="006101DB">
        <w:t xml:space="preserve"> </w:t>
      </w:r>
      <w:r w:rsidRPr="00947F1E">
        <w:t xml:space="preserve">should be invited to attend a meeting with at least 2 Committee members present to fully discuss the grievance, once both parties have had a reasonable amount of time to consider the matter in hand. The volunteer must take all reasonable steps to attend the meeting and may be accompanied to the meeting. </w:t>
      </w:r>
    </w:p>
    <w:p w14:paraId="77119BFD" w14:textId="77777777" w:rsidR="00947F1E" w:rsidRPr="00947F1E" w:rsidRDefault="00947F1E" w:rsidP="00947F1E">
      <w:r w:rsidRPr="00947F1E">
        <w:t xml:space="preserve">3. Following the meeting the volunteer must be informed in writing within 7days of: </w:t>
      </w:r>
    </w:p>
    <w:p w14:paraId="799A1FDC" w14:textId="77777777" w:rsidR="00947F1E" w:rsidRPr="00947F1E" w:rsidRDefault="00947F1E" w:rsidP="00947F1E">
      <w:r w:rsidRPr="00947F1E">
        <w:t xml:space="preserve">a. any decisions taken relating to their response to their grievance </w:t>
      </w:r>
    </w:p>
    <w:p w14:paraId="7DE5BF75" w14:textId="77777777" w:rsidR="00497DE4" w:rsidRDefault="00947F1E" w:rsidP="00947F1E">
      <w:r w:rsidRPr="00947F1E">
        <w:t xml:space="preserve">b. their right to appeal </w:t>
      </w:r>
    </w:p>
    <w:p w14:paraId="28C52AF1" w14:textId="51D89C01" w:rsidR="00947F1E" w:rsidRPr="00947F1E" w:rsidRDefault="00947F1E" w:rsidP="00947F1E">
      <w:r w:rsidRPr="00947F1E">
        <w:t xml:space="preserve">4. Decisions taken </w:t>
      </w:r>
      <w:proofErr w:type="gramStart"/>
      <w:r w:rsidRPr="00947F1E">
        <w:t>as a result of</w:t>
      </w:r>
      <w:proofErr w:type="gramEnd"/>
      <w:r w:rsidRPr="00947F1E">
        <w:t xml:space="preserve"> a grievance appeal hearing are final.</w:t>
      </w:r>
    </w:p>
    <w:p w14:paraId="2F0D284F" w14:textId="77777777" w:rsidR="00947F1E" w:rsidRPr="00947F1E" w:rsidRDefault="00947F1E" w:rsidP="00947F1E">
      <w:r w:rsidRPr="00947F1E">
        <w:t xml:space="preserve">However, if for example a volunteer is concerned about criminal activities, a failure to meet legal obligations, financial fraud, miscarriages of justice, health and safety infringements, environmental damage or cover-ups they may have the right to appeal. </w:t>
      </w:r>
    </w:p>
    <w:p w14:paraId="26D0207D" w14:textId="77777777" w:rsidR="00947F1E" w:rsidRDefault="00947F1E" w:rsidP="00947F1E">
      <w:r w:rsidRPr="00947F1E">
        <w:t>They should write to The Committee stating the grounds of their appeal.</w:t>
      </w:r>
    </w:p>
    <w:p w14:paraId="37818A73" w14:textId="3181D4E6" w:rsidR="00A35F1C" w:rsidRPr="00947F1E" w:rsidRDefault="00A35F1C" w:rsidP="00947F1E">
      <w:r>
        <w:tab/>
      </w:r>
      <w:r>
        <w:tab/>
      </w:r>
      <w:r>
        <w:tab/>
      </w:r>
      <w:r>
        <w:tab/>
      </w:r>
      <w:r>
        <w:tab/>
      </w:r>
      <w:r>
        <w:tab/>
        <w:t>**************</w:t>
      </w:r>
    </w:p>
    <w:p w14:paraId="41F6297F" w14:textId="77777777" w:rsidR="00D62AD1" w:rsidRDefault="00D62AD1"/>
    <w:sectPr w:rsidR="00D62AD1" w:rsidSect="003934D6">
      <w:pgSz w:w="11906" w:h="16838"/>
      <w:pgMar w:top="567" w:right="794"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1E"/>
    <w:rsid w:val="00005A7C"/>
    <w:rsid w:val="00022F19"/>
    <w:rsid w:val="0005464F"/>
    <w:rsid w:val="0015036F"/>
    <w:rsid w:val="001E06C0"/>
    <w:rsid w:val="0023582C"/>
    <w:rsid w:val="002B03AA"/>
    <w:rsid w:val="002C6795"/>
    <w:rsid w:val="00332CB8"/>
    <w:rsid w:val="00352F2A"/>
    <w:rsid w:val="003934D6"/>
    <w:rsid w:val="003E03E2"/>
    <w:rsid w:val="003F1816"/>
    <w:rsid w:val="003F7F91"/>
    <w:rsid w:val="004362C4"/>
    <w:rsid w:val="00466DFB"/>
    <w:rsid w:val="00471C67"/>
    <w:rsid w:val="00480B43"/>
    <w:rsid w:val="00497DE4"/>
    <w:rsid w:val="004F5AA1"/>
    <w:rsid w:val="00583639"/>
    <w:rsid w:val="005905A1"/>
    <w:rsid w:val="005A79D4"/>
    <w:rsid w:val="006101DB"/>
    <w:rsid w:val="006D67F9"/>
    <w:rsid w:val="006E4A9F"/>
    <w:rsid w:val="00716D86"/>
    <w:rsid w:val="00734CEF"/>
    <w:rsid w:val="007554FD"/>
    <w:rsid w:val="007F52CA"/>
    <w:rsid w:val="00800750"/>
    <w:rsid w:val="008408A8"/>
    <w:rsid w:val="008618F6"/>
    <w:rsid w:val="008A1785"/>
    <w:rsid w:val="008E58AE"/>
    <w:rsid w:val="00924B99"/>
    <w:rsid w:val="00947F1E"/>
    <w:rsid w:val="00953CC6"/>
    <w:rsid w:val="00964DFE"/>
    <w:rsid w:val="00A11A08"/>
    <w:rsid w:val="00A35F1C"/>
    <w:rsid w:val="00A42218"/>
    <w:rsid w:val="00AA59F0"/>
    <w:rsid w:val="00B46C27"/>
    <w:rsid w:val="00B608EE"/>
    <w:rsid w:val="00B8025A"/>
    <w:rsid w:val="00B96309"/>
    <w:rsid w:val="00C56A86"/>
    <w:rsid w:val="00CF4BCA"/>
    <w:rsid w:val="00D13F04"/>
    <w:rsid w:val="00D33A21"/>
    <w:rsid w:val="00D62AD1"/>
    <w:rsid w:val="00D864E1"/>
    <w:rsid w:val="00D90496"/>
    <w:rsid w:val="00DE73FF"/>
    <w:rsid w:val="00E015FC"/>
    <w:rsid w:val="00E36EE1"/>
    <w:rsid w:val="00E804CC"/>
    <w:rsid w:val="00EB0E4B"/>
    <w:rsid w:val="00EB1BE4"/>
    <w:rsid w:val="00F35395"/>
    <w:rsid w:val="00F37A95"/>
    <w:rsid w:val="00F555C0"/>
    <w:rsid w:val="00F95935"/>
    <w:rsid w:val="00FD0D51"/>
    <w:rsid w:val="00FF4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B3F1"/>
  <w15:chartTrackingRefBased/>
  <w15:docId w15:val="{1A7592B6-B37D-450D-B5F6-16D4F16E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99"/>
    <w:rPr>
      <w:rFonts w:ascii="Arial" w:hAnsi="Arial"/>
    </w:rPr>
  </w:style>
  <w:style w:type="paragraph" w:styleId="Heading1">
    <w:name w:val="heading 1"/>
    <w:basedOn w:val="Normal"/>
    <w:next w:val="Normal"/>
    <w:link w:val="Heading1Char"/>
    <w:uiPriority w:val="9"/>
    <w:qFormat/>
    <w:rsid w:val="00947F1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47F1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47F1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47F1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47F1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47F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7F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7F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7F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F1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47F1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47F1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47F1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47F1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47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F1E"/>
    <w:rPr>
      <w:rFonts w:eastAsiaTheme="majorEastAsia" w:cstheme="majorBidi"/>
      <w:color w:val="272727" w:themeColor="text1" w:themeTint="D8"/>
    </w:rPr>
  </w:style>
  <w:style w:type="paragraph" w:styleId="Title">
    <w:name w:val="Title"/>
    <w:basedOn w:val="Normal"/>
    <w:next w:val="Normal"/>
    <w:link w:val="TitleChar"/>
    <w:uiPriority w:val="10"/>
    <w:qFormat/>
    <w:rsid w:val="00947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F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F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7F1E"/>
    <w:rPr>
      <w:rFonts w:ascii="Arial" w:hAnsi="Arial"/>
      <w:i/>
      <w:iCs/>
      <w:color w:val="404040" w:themeColor="text1" w:themeTint="BF"/>
    </w:rPr>
  </w:style>
  <w:style w:type="paragraph" w:styleId="ListParagraph">
    <w:name w:val="List Paragraph"/>
    <w:basedOn w:val="Normal"/>
    <w:uiPriority w:val="34"/>
    <w:qFormat/>
    <w:rsid w:val="00947F1E"/>
    <w:pPr>
      <w:ind w:left="720"/>
      <w:contextualSpacing/>
    </w:pPr>
  </w:style>
  <w:style w:type="character" w:styleId="IntenseEmphasis">
    <w:name w:val="Intense Emphasis"/>
    <w:basedOn w:val="DefaultParagraphFont"/>
    <w:uiPriority w:val="21"/>
    <w:qFormat/>
    <w:rsid w:val="00947F1E"/>
    <w:rPr>
      <w:i/>
      <w:iCs/>
      <w:color w:val="365F91" w:themeColor="accent1" w:themeShade="BF"/>
    </w:rPr>
  </w:style>
  <w:style w:type="paragraph" w:styleId="IntenseQuote">
    <w:name w:val="Intense Quote"/>
    <w:basedOn w:val="Normal"/>
    <w:next w:val="Normal"/>
    <w:link w:val="IntenseQuoteChar"/>
    <w:uiPriority w:val="30"/>
    <w:qFormat/>
    <w:rsid w:val="00947F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7F1E"/>
    <w:rPr>
      <w:rFonts w:ascii="Arial" w:hAnsi="Arial"/>
      <w:i/>
      <w:iCs/>
      <w:color w:val="365F91" w:themeColor="accent1" w:themeShade="BF"/>
    </w:rPr>
  </w:style>
  <w:style w:type="character" w:styleId="IntenseReference">
    <w:name w:val="Intense Reference"/>
    <w:basedOn w:val="DefaultParagraphFont"/>
    <w:uiPriority w:val="32"/>
    <w:qFormat/>
    <w:rsid w:val="00947F1E"/>
    <w:rPr>
      <w:b/>
      <w:bCs/>
      <w:smallCaps/>
      <w:color w:val="365F91" w:themeColor="accent1" w:themeShade="BF"/>
      <w:spacing w:val="5"/>
    </w:rPr>
  </w:style>
  <w:style w:type="table" w:styleId="TableGrid">
    <w:name w:val="Table Grid"/>
    <w:basedOn w:val="TableNormal"/>
    <w:uiPriority w:val="59"/>
    <w:rsid w:val="00947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7F1E"/>
    <w:rPr>
      <w:color w:val="0000FF" w:themeColor="hyperlink"/>
      <w:u w:val="single"/>
    </w:rPr>
  </w:style>
  <w:style w:type="character" w:styleId="UnresolvedMention">
    <w:name w:val="Unresolved Mention"/>
    <w:basedOn w:val="DefaultParagraphFont"/>
    <w:uiPriority w:val="99"/>
    <w:semiHidden/>
    <w:unhideWhenUsed/>
    <w:rsid w:val="00947F1E"/>
    <w:rPr>
      <w:color w:val="605E5C"/>
      <w:shd w:val="clear" w:color="auto" w:fill="E1DFDD"/>
    </w:rPr>
  </w:style>
  <w:style w:type="table" w:customStyle="1" w:styleId="TableGrid0">
    <w:name w:val="TableGrid"/>
    <w:rsid w:val="00947F1E"/>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5149">
      <w:bodyDiv w:val="1"/>
      <w:marLeft w:val="0"/>
      <w:marRight w:val="0"/>
      <w:marTop w:val="0"/>
      <w:marBottom w:val="0"/>
      <w:divBdr>
        <w:top w:val="none" w:sz="0" w:space="0" w:color="auto"/>
        <w:left w:val="none" w:sz="0" w:space="0" w:color="auto"/>
        <w:bottom w:val="none" w:sz="0" w:space="0" w:color="auto"/>
        <w:right w:val="none" w:sz="0" w:space="0" w:color="auto"/>
      </w:divBdr>
    </w:div>
    <w:div w:id="1190100813">
      <w:bodyDiv w:val="1"/>
      <w:marLeft w:val="0"/>
      <w:marRight w:val="0"/>
      <w:marTop w:val="0"/>
      <w:marBottom w:val="0"/>
      <w:divBdr>
        <w:top w:val="none" w:sz="0" w:space="0" w:color="auto"/>
        <w:left w:val="none" w:sz="0" w:space="0" w:color="auto"/>
        <w:bottom w:val="none" w:sz="0" w:space="0" w:color="auto"/>
        <w:right w:val="none" w:sz="0" w:space="0" w:color="auto"/>
      </w:divBdr>
    </w:div>
    <w:div w:id="1574240808">
      <w:bodyDiv w:val="1"/>
      <w:marLeft w:val="0"/>
      <w:marRight w:val="0"/>
      <w:marTop w:val="0"/>
      <w:marBottom w:val="0"/>
      <w:divBdr>
        <w:top w:val="none" w:sz="0" w:space="0" w:color="auto"/>
        <w:left w:val="none" w:sz="0" w:space="0" w:color="auto"/>
        <w:bottom w:val="none" w:sz="0" w:space="0" w:color="auto"/>
        <w:right w:val="none" w:sz="0" w:space="0" w:color="auto"/>
      </w:divBdr>
    </w:div>
    <w:div w:id="181502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oottonvillagehal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Gerrard</dc:creator>
  <cp:keywords/>
  <dc:description/>
  <cp:lastModifiedBy>Ian Gerrard</cp:lastModifiedBy>
  <cp:revision>8</cp:revision>
  <cp:lastPrinted>2025-08-10T10:34:00Z</cp:lastPrinted>
  <dcterms:created xsi:type="dcterms:W3CDTF">2025-10-16T09:52:00Z</dcterms:created>
  <dcterms:modified xsi:type="dcterms:W3CDTF">2025-10-16T09:59:00Z</dcterms:modified>
</cp:coreProperties>
</file>